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EF9DD" w14:textId="11B63B33" w:rsidR="00EB61AF" w:rsidRPr="0037129A" w:rsidRDefault="00277E71">
      <w:pPr>
        <w:rPr>
          <w:sz w:val="36"/>
          <w:szCs w:val="36"/>
        </w:rPr>
      </w:pPr>
      <w:r w:rsidRPr="0037129A">
        <w:rPr>
          <w:sz w:val="36"/>
          <w:szCs w:val="36"/>
          <w:highlight w:val="yellow"/>
        </w:rPr>
        <w:t xml:space="preserve">DISCUSSION POST </w:t>
      </w:r>
      <w:r w:rsidR="0037129A" w:rsidRPr="0037129A">
        <w:rPr>
          <w:sz w:val="36"/>
          <w:szCs w:val="36"/>
          <w:highlight w:val="yellow"/>
        </w:rPr>
        <w:t>#1</w:t>
      </w:r>
    </w:p>
    <w:sdt>
      <w:sdtPr>
        <w:tag w:val="FirstPageTitle"/>
        <w:id w:val="-317652664"/>
        <w:lock w:val="contentLocked"/>
        <w:placeholder>
          <w:docPart w:val="39D4124A737D42E69F712F2A404D8F39"/>
        </w:placeholder>
        <w15:appearance w15:val="hidden"/>
      </w:sdtPr>
      <w:sdtContent>
        <w:p w14:paraId="6DD39B25" w14:textId="77777777" w:rsidR="0037129A" w:rsidRDefault="0037129A" w:rsidP="00C94AE6">
          <w:pPr>
            <w:pStyle w:val="APAFirstPageTitle"/>
          </w:pPr>
          <w:r>
            <w:t xml:space="preserve">Discussion Thread: Integrating Faith and Learning </w:t>
          </w:r>
        </w:p>
      </w:sdtContent>
    </w:sdt>
    <w:p w14:paraId="69F3C4FD" w14:textId="77777777" w:rsidR="0037129A" w:rsidRDefault="0037129A" w:rsidP="00C94AE6">
      <w:pPr>
        <w:spacing w:line="480" w:lineRule="auto"/>
        <w:ind w:firstLine="720"/>
      </w:pPr>
      <w:r>
        <w:t>Work is just that work, or is it much more? Anyone that has done research would agree it is work and no small feat of accomplishment. If research is work, then how should the faith-based researcher approach their chosen research work? In his book Every Good Endeavor, Keller states, "Our daily work can be a calling only if it is reconceived as God's assignment to serve others"</w:t>
      </w:r>
      <w:r w:rsidRPr="000F7314">
        <w:t>(Keller &amp; Alsdorf, 2012, p. 366)</w:t>
      </w:r>
      <w:r>
        <w:t>.</w:t>
      </w:r>
    </w:p>
    <w:p w14:paraId="47D90323" w14:textId="77777777" w:rsidR="0037129A" w:rsidRPr="00BC1501" w:rsidRDefault="0037129A" w:rsidP="00C94AE6">
      <w:pPr>
        <w:spacing w:line="480" w:lineRule="auto"/>
        <w:ind w:firstLine="720"/>
      </w:pPr>
      <w:r w:rsidRPr="00BC1501">
        <w:t>To indeed do the work of God, one must not allow presumed prejudice to intervene with research. We should strive to be humble and use this humility to listen to the people's viewpoints and accept their comments because they are the word of God. "If one gives an answer before he hears, it is his folly and shame" (Proverbs 18:13, ESV). In the article by Bradley and Scott, Fruitful Research: A Biblical Perspective on the Affective Dimension of Research, the focus is on understanding the relationship of the research process and relating it to St. Paul's list of nine fruit of the Spirit (Galatians 5:22, ESV). A faithful servant of God will live and work while honoring these nine fruits of the Spirit. When faith-based researchers can incorporate these nine dispositions in the research project, they will have additional resources to integrate God's presence in the research process, thereby reducing research anxiety</w:t>
      </w:r>
      <w:sdt>
        <w:sdtPr>
          <w:tag w:val="C_469D3C59-DF90-4701-9CC1-03E6673A6447"/>
          <w:id w:val="543179322"/>
          <w:lock w:val="contentLocked"/>
          <w:placeholder>
            <w:docPart w:val="4AE5D16D00C64CB09C0981509B9055A3"/>
          </w:placeholder>
        </w:sdtPr>
        <w:sdtContent>
          <w:r w:rsidRPr="00BC1501">
            <w:t>(Bradley &amp; Scott, 2011)</w:t>
          </w:r>
        </w:sdtContent>
      </w:sdt>
      <w:r w:rsidRPr="00BC1501">
        <w:t>.</w:t>
      </w:r>
    </w:p>
    <w:p w14:paraId="6B5A3EC3" w14:textId="77777777" w:rsidR="0037129A" w:rsidRDefault="0037129A" w:rsidP="00C94AE6">
      <w:pPr>
        <w:pStyle w:val="APA"/>
      </w:pPr>
      <w:r>
        <w:t xml:space="preserve">A noted author and past professor of Philosophy at the University of Southern California, Dr. Dallas Willard, observed that spirituality meets two basic needs of human life: identity and an understanding of values as an individual as well as a sense of empowerment and the belief that there is an ability to have control over some issues </w:t>
      </w:r>
      <w:r w:rsidRPr="000F7314">
        <w:t>(Willard, 2007)</w:t>
      </w:r>
      <w:r>
        <w:t xml:space="preserve">. His observation is particularly relevant in the research world today as more business practitioners separate their spiritual identity from their professional one. It is almost a requirement of the political </w:t>
      </w:r>
      <w:r>
        <w:lastRenderedPageBreak/>
        <w:t xml:space="preserve">correctness of the business world of today. The result, in some cases, is a dueling set of values that change and conform based on the individual's environment. This growing separation of the work world from the faith world has led to a third need–that is, the need for meaning. As people search for spirituality, they often, at the same time, look to find meaning in their lives and the work they do.  There is a desire in most humans need to know that their life matters now and that perhaps their contributions will have some lasting impact after death </w:t>
      </w:r>
      <w:r w:rsidRPr="000F7314">
        <w:t>(Willard, 2007)</w:t>
      </w:r>
      <w:r>
        <w:t>.</w:t>
      </w:r>
    </w:p>
    <w:p w14:paraId="0026B202" w14:textId="77777777" w:rsidR="0037129A" w:rsidRDefault="0037129A" w:rsidP="00C94AE6">
      <w:pPr>
        <w:pStyle w:val="APA"/>
      </w:pPr>
      <w:r>
        <w:t xml:space="preserve">Faith integration is concerned with how faith and knowledge play an integral relationship with each other, the relationships that inherently exist between the search for faith and the chosen research subject; these connections do not have to be manufactured </w:t>
      </w:r>
      <w:r w:rsidRPr="0018282F">
        <w:t>(Hasker, 1993)</w:t>
      </w:r>
      <w:r>
        <w:t xml:space="preserve">. However, they need to be explored and developed; if the correlation is not made between faith-based research and the pursuit of knowledge, they may appear to be at separate ends of the universe.  Faith-research integration is mainly concerned with the field of research into which our knowledge is organized, the same meticulous concern of subject matter and methodology, which lead to the distinction of integrated faith-based research </w:t>
      </w:r>
      <w:r w:rsidRPr="0018282F">
        <w:t>(Hasker, 1993)</w:t>
      </w:r>
      <w:r>
        <w:t>.</w:t>
      </w:r>
    </w:p>
    <w:p w14:paraId="6787B13E" w14:textId="77777777" w:rsidR="0037129A" w:rsidRDefault="0037129A" w:rsidP="00C94AE6">
      <w:pPr>
        <w:pStyle w:val="APA"/>
      </w:pPr>
      <w:r>
        <w:t xml:space="preserve">For faith-based researchers, faith integration begins with investigating research questions and methodologies that will advance their chosen field of study. This should lead to the gathering of meaningful content for scholarly research.  It is here that the curious faith-based researcher will discover ways their knowledge of their field of study will advance and invite further intellectual development in the field </w:t>
      </w:r>
      <w:r w:rsidRPr="0018282F">
        <w:t>(Hasker, 1993)</w:t>
      </w:r>
      <w:r>
        <w:t>. God created the brain's intricate neural network and cognitive powers so a human could think, learn, and do. It was His design that "His servants would possess more intelligence and clearer discernment than the worlding"</w:t>
      </w:r>
      <w:r w:rsidRPr="000F7314">
        <w:t>(White, 1941, p. 325-326)</w:t>
      </w:r>
      <w:r>
        <w:t xml:space="preserve">. For the Christian, the development of an inquiring mind is an expression of </w:t>
      </w:r>
      <w:r>
        <w:lastRenderedPageBreak/>
        <w:t>faith, hope, and love that is addressed to God and is part of our response to His self-revelation</w:t>
      </w:r>
      <w:r w:rsidRPr="0018282F">
        <w:t xml:space="preserve"> (Holmes, 1987)</w:t>
      </w:r>
      <w:r>
        <w:t>.</w:t>
      </w:r>
    </w:p>
    <w:p w14:paraId="5BA79268" w14:textId="77777777" w:rsidR="0037129A" w:rsidRPr="00F162A3" w:rsidRDefault="0037129A" w:rsidP="00C94AE6">
      <w:pPr>
        <w:pStyle w:val="APA"/>
        <w:rPr>
          <w:b/>
          <w:bCs/>
        </w:rPr>
      </w:pPr>
      <w:r>
        <w:tab/>
        <w:t>One of the most apparent Biblical principles that influence a faith-based researcher's thoughts and behaviors regarding ethics in research is found in the book of Matthew: "So in everything, do to others what you would have them do to you" (Matthew 7:12, ESV). This principle will guide the Christian researcher's study design, subject recruitment, obtaining informed consent, and data collection processes. The faith-based researcher should ask the question of themselves; "Would I want to be treated this way if I were to participate in this study?" By following the Biblical principles laid out in the Holy Bible, the faith-based researcher will be led to protect the rights of the study participants based on love for his neighbor and, in turn, honor God in their work. "</w:t>
      </w:r>
      <w:r w:rsidRPr="00DA25C1">
        <w:t>Therefore, having put away falsehood, let each one of you speak the truth with his neighbor, for we are members one of another</w:t>
      </w:r>
      <w:r>
        <w:t>" (</w:t>
      </w:r>
      <w:r w:rsidRPr="00F162A3">
        <w:t>Ephesians 4:25</w:t>
      </w:r>
      <w:r>
        <w:t xml:space="preserve">, ESV).  </w:t>
      </w:r>
    </w:p>
    <w:p w14:paraId="46A883CF" w14:textId="77777777" w:rsidR="0037129A" w:rsidRDefault="0037129A" w:rsidP="00C94AE6">
      <w:pPr>
        <w:pStyle w:val="APAReferenceSectionHeading"/>
      </w:pPr>
      <w:sdt>
        <w:sdtPr>
          <w:alias w:val="ReferenceSectionHeader"/>
          <w:tag w:val="ReferenceSectionHeader"/>
          <w:id w:val="1547869987"/>
          <w:lock w:val="contentLocked"/>
          <w:placeholder>
            <w:docPart w:val="492FF7A2BB1A4160BEC947E2BC274554"/>
          </w:placeholder>
          <w15:appearance w15:val="hidden"/>
        </w:sdtPr>
        <w:sdtContent>
          <w:r>
            <w:t>References</w:t>
          </w:r>
        </w:sdtContent>
      </w:sdt>
    </w:p>
    <w:p w14:paraId="49D588D8" w14:textId="77777777" w:rsidR="0037129A" w:rsidRDefault="0037129A" w:rsidP="00C94AE6">
      <w:pPr>
        <w:pStyle w:val="APAReference"/>
      </w:pPr>
      <w:r>
        <w:t xml:space="preserve">Bradley, K., &amp; Scott, J. (2011). Fruitful research: a biblical perspective on the affective dimension of research. </w:t>
      </w:r>
      <w:r>
        <w:rPr>
          <w:i/>
          <w:iCs/>
        </w:rPr>
        <w:t>Faculty Publication-School of Education George Fox University</w:t>
      </w:r>
      <w:r>
        <w:t xml:space="preserve">, </w:t>
      </w:r>
      <w:r>
        <w:rPr>
          <w:i/>
          <w:iCs/>
        </w:rPr>
        <w:t>94</w:t>
      </w:r>
      <w:r>
        <w:t>. Retrieved from https://digitalcommons.georgefox.edu/soe_faculty/94</w:t>
      </w:r>
    </w:p>
    <w:p w14:paraId="1FEFAED9" w14:textId="77777777" w:rsidR="0037129A" w:rsidRDefault="0037129A" w:rsidP="00C94AE6">
      <w:pPr>
        <w:pStyle w:val="APAReference"/>
      </w:pPr>
      <w:r>
        <w:t xml:space="preserve">Hasker, W. (1993). Christian philosophy. </w:t>
      </w:r>
      <w:r>
        <w:rPr>
          <w:rStyle w:val="Emphasis"/>
        </w:rPr>
        <w:t>Faith and Philosophy</w:t>
      </w:r>
      <w:r>
        <w:t xml:space="preserve">, </w:t>
      </w:r>
      <w:r>
        <w:rPr>
          <w:rStyle w:val="Emphasis"/>
        </w:rPr>
        <w:t>10</w:t>
      </w:r>
      <w:r>
        <w:t xml:space="preserve">(1), 107–112. </w:t>
      </w:r>
      <w:hyperlink r:id="rId5" w:history="1">
        <w:r>
          <w:rPr>
            <w:rStyle w:val="Hyperlink"/>
          </w:rPr>
          <w:t>https://doi.org/10.5840/faithphil199310131</w:t>
        </w:r>
      </w:hyperlink>
    </w:p>
    <w:p w14:paraId="49136F48" w14:textId="77777777" w:rsidR="0037129A" w:rsidRDefault="0037129A" w:rsidP="00C94AE6">
      <w:pPr>
        <w:pStyle w:val="APAReference"/>
      </w:pPr>
      <w:r>
        <w:t xml:space="preserve">Holmes, A. (1987). </w:t>
      </w:r>
      <w:r>
        <w:rPr>
          <w:rStyle w:val="Emphasis"/>
        </w:rPr>
        <w:t>The idea of a Christian college</w:t>
      </w:r>
      <w:r>
        <w:t xml:space="preserve"> (Revised ed.). William B. Eerdmans Publishing Company.</w:t>
      </w:r>
    </w:p>
    <w:p w14:paraId="09A0FCB2" w14:textId="77777777" w:rsidR="0037129A" w:rsidRDefault="0037129A" w:rsidP="00C94AE6">
      <w:pPr>
        <w:pStyle w:val="APAReference"/>
        <w:rPr>
          <w:rStyle w:val="Emphasis"/>
        </w:rPr>
      </w:pPr>
      <w:r>
        <w:t xml:space="preserve">Keller, T. (2012). </w:t>
      </w:r>
      <w:r>
        <w:rPr>
          <w:rStyle w:val="Emphasis"/>
        </w:rPr>
        <w:t>Every good endeavor: Connecting your work to God's work</w:t>
      </w:r>
      <w:r>
        <w:t xml:space="preserve"> (3rd ed.). Penguin Books.</w:t>
      </w:r>
    </w:p>
    <w:p w14:paraId="000ADC7C" w14:textId="77777777" w:rsidR="0037129A" w:rsidRDefault="0037129A" w:rsidP="00C94AE6">
      <w:pPr>
        <w:pStyle w:val="APAReference"/>
      </w:pPr>
      <w:r>
        <w:t xml:space="preserve">Society, A. B. (2001). </w:t>
      </w:r>
      <w:r>
        <w:rPr>
          <w:rStyle w:val="Emphasis"/>
        </w:rPr>
        <w:t xml:space="preserve">The holy bible - </w:t>
      </w:r>
      <w:proofErr w:type="spellStart"/>
      <w:r>
        <w:rPr>
          <w:rStyle w:val="Emphasis"/>
        </w:rPr>
        <w:t>esv</w:t>
      </w:r>
      <w:proofErr w:type="spellEnd"/>
      <w:r>
        <w:rPr>
          <w:rStyle w:val="Emphasis"/>
        </w:rPr>
        <w:t xml:space="preserve"> (English standard version)</w:t>
      </w:r>
      <w:r>
        <w:t>. Good News Publishers.</w:t>
      </w:r>
    </w:p>
    <w:p w14:paraId="3BB92DC8" w14:textId="77777777" w:rsidR="0037129A" w:rsidRDefault="0037129A" w:rsidP="00C94AE6">
      <w:pPr>
        <w:pStyle w:val="APAReference"/>
      </w:pPr>
      <w:r>
        <w:lastRenderedPageBreak/>
        <w:t xml:space="preserve">White, E. (1941). </w:t>
      </w:r>
      <w:r>
        <w:rPr>
          <w:i/>
          <w:iCs/>
        </w:rPr>
        <w:t>Christ object lessons</w:t>
      </w:r>
      <w:r>
        <w:t>. Washington DC: Herald Publishing Association.</w:t>
      </w:r>
    </w:p>
    <w:p w14:paraId="4A1E15FE" w14:textId="77777777" w:rsidR="0037129A" w:rsidRDefault="0037129A" w:rsidP="00C94AE6">
      <w:pPr>
        <w:pStyle w:val="APAReference"/>
      </w:pPr>
      <w:r>
        <w:t xml:space="preserve">Willard, D. (2007, February 10). Spirituality and the academy. </w:t>
      </w:r>
      <w:r>
        <w:rPr>
          <w:i/>
          <w:iCs/>
        </w:rPr>
        <w:t>Intervarsity Conference held at the University of Southern California</w:t>
      </w:r>
      <w:r>
        <w:t>.</w:t>
      </w:r>
    </w:p>
    <w:p w14:paraId="69F7A179" w14:textId="77777777" w:rsidR="0037129A" w:rsidRDefault="0037129A" w:rsidP="0037129A">
      <w:pPr>
        <w:rPr>
          <w:sz w:val="36"/>
          <w:szCs w:val="36"/>
          <w:highlight w:val="yellow"/>
        </w:rPr>
      </w:pPr>
    </w:p>
    <w:p w14:paraId="5BB73A1A" w14:textId="1EE8C4D3" w:rsidR="0037129A" w:rsidRDefault="0037129A" w:rsidP="0037129A">
      <w:pPr>
        <w:rPr>
          <w:sz w:val="36"/>
          <w:szCs w:val="36"/>
        </w:rPr>
      </w:pPr>
      <w:r w:rsidRPr="0037129A">
        <w:rPr>
          <w:sz w:val="36"/>
          <w:szCs w:val="36"/>
          <w:highlight w:val="yellow"/>
        </w:rPr>
        <w:t>DISCUSSION POST #</w:t>
      </w:r>
      <w:r w:rsidRPr="0037129A">
        <w:rPr>
          <w:sz w:val="36"/>
          <w:szCs w:val="36"/>
          <w:highlight w:val="yellow"/>
        </w:rPr>
        <w:t>2</w:t>
      </w:r>
    </w:p>
    <w:p w14:paraId="68856962" w14:textId="77777777" w:rsidR="000352AA" w:rsidRPr="00E7417E" w:rsidRDefault="000352AA" w:rsidP="000352AA">
      <w:pPr>
        <w:shd w:val="clear" w:color="auto" w:fill="FFFFFF"/>
        <w:spacing w:before="180" w:after="0" w:line="240" w:lineRule="auto"/>
        <w:jc w:val="center"/>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Week 6: Bivariate Pearson, Spearman Correlations and Linear Regression</w:t>
      </w:r>
    </w:p>
    <w:p w14:paraId="6128B2C9" w14:textId="77777777" w:rsidR="000352AA" w:rsidRPr="00E7417E" w:rsidRDefault="000352AA" w:rsidP="000352AA">
      <w:pPr>
        <w:shd w:val="clear" w:color="auto" w:fill="FFFFFF"/>
        <w:spacing w:before="180" w:after="0" w:line="240" w:lineRule="auto"/>
        <w:jc w:val="center"/>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 xml:space="preserve">Fredric </w:t>
      </w:r>
      <w:proofErr w:type="spellStart"/>
      <w:r w:rsidRPr="00E7417E">
        <w:rPr>
          <w:rFonts w:ascii="Times New Roman" w:eastAsia="Times New Roman" w:hAnsi="Times New Roman" w:cs="Times New Roman"/>
          <w:color w:val="222222"/>
          <w:sz w:val="24"/>
          <w:szCs w:val="24"/>
        </w:rPr>
        <w:t>Nwaeme</w:t>
      </w:r>
      <w:proofErr w:type="spellEnd"/>
      <w:r w:rsidRPr="00E7417E">
        <w:rPr>
          <w:rFonts w:ascii="Times New Roman" w:eastAsia="Times New Roman" w:hAnsi="Times New Roman" w:cs="Times New Roman"/>
          <w:color w:val="222222"/>
          <w:sz w:val="24"/>
          <w:szCs w:val="24"/>
        </w:rPr>
        <w:t>-Ben</w:t>
      </w:r>
    </w:p>
    <w:p w14:paraId="715FAF38" w14:textId="77777777" w:rsidR="000352AA" w:rsidRPr="00E7417E" w:rsidRDefault="000352AA" w:rsidP="000352AA">
      <w:pPr>
        <w:shd w:val="clear" w:color="auto" w:fill="FFFFFF"/>
        <w:spacing w:before="180" w:after="0" w:line="240" w:lineRule="auto"/>
        <w:jc w:val="center"/>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Online School of Business Graduate Studies, Liberty University</w:t>
      </w:r>
    </w:p>
    <w:p w14:paraId="7ED1EE40" w14:textId="77777777" w:rsidR="000352AA" w:rsidRPr="00E7417E" w:rsidRDefault="000352AA" w:rsidP="000352AA">
      <w:pPr>
        <w:shd w:val="clear" w:color="auto" w:fill="FFFFFF"/>
        <w:spacing w:before="180" w:after="0" w:line="240" w:lineRule="auto"/>
        <w:jc w:val="center"/>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BUSI 820: Qualitative Research Methods</w:t>
      </w:r>
    </w:p>
    <w:p w14:paraId="56AE17A4" w14:textId="77777777" w:rsidR="000352AA" w:rsidRPr="00E7417E" w:rsidRDefault="000352AA" w:rsidP="000352AA">
      <w:pPr>
        <w:shd w:val="clear" w:color="auto" w:fill="FFFFFF"/>
        <w:spacing w:before="180" w:after="0" w:line="240" w:lineRule="auto"/>
        <w:jc w:val="center"/>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Dr. Mark Ellis</w:t>
      </w:r>
    </w:p>
    <w:p w14:paraId="6FCDDB4C" w14:textId="77777777" w:rsidR="000352AA" w:rsidRPr="00E7417E" w:rsidRDefault="000352AA" w:rsidP="000352AA">
      <w:pPr>
        <w:shd w:val="clear" w:color="auto" w:fill="FFFFFF"/>
        <w:spacing w:before="180" w:after="0" w:line="240" w:lineRule="auto"/>
        <w:jc w:val="center"/>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August 4</w:t>
      </w:r>
      <w:r w:rsidRPr="00E7417E">
        <w:rPr>
          <w:rFonts w:ascii="Times New Roman" w:eastAsia="Times New Roman" w:hAnsi="Times New Roman" w:cs="Times New Roman"/>
          <w:color w:val="222222"/>
          <w:sz w:val="16"/>
          <w:szCs w:val="16"/>
          <w:vertAlign w:val="superscript"/>
        </w:rPr>
        <w:t>th</w:t>
      </w:r>
      <w:r w:rsidRPr="00E7417E">
        <w:rPr>
          <w:rFonts w:ascii="Times New Roman" w:eastAsia="Times New Roman" w:hAnsi="Times New Roman" w:cs="Times New Roman"/>
          <w:color w:val="222222"/>
          <w:sz w:val="24"/>
          <w:szCs w:val="24"/>
        </w:rPr>
        <w:t>, 2021</w:t>
      </w:r>
    </w:p>
    <w:p w14:paraId="4762E1F4" w14:textId="77777777" w:rsidR="000352AA" w:rsidRPr="00E7417E" w:rsidRDefault="000352AA" w:rsidP="000352AA">
      <w:pPr>
        <w:shd w:val="clear" w:color="auto" w:fill="FFFFFF"/>
        <w:spacing w:before="180" w:after="0" w:line="240" w:lineRule="auto"/>
        <w:rPr>
          <w:rFonts w:ascii="Roboto" w:eastAsia="Times New Roman" w:hAnsi="Roboto" w:cs="Times New Roman"/>
          <w:color w:val="222222"/>
          <w:sz w:val="24"/>
          <w:szCs w:val="24"/>
        </w:rPr>
      </w:pPr>
      <w:r w:rsidRPr="00E7417E">
        <w:rPr>
          <w:rFonts w:ascii="Times New Roman" w:eastAsia="Times New Roman" w:hAnsi="Times New Roman" w:cs="Times New Roman"/>
          <w:b/>
          <w:bCs/>
          <w:color w:val="222222"/>
          <w:sz w:val="24"/>
          <w:szCs w:val="24"/>
        </w:rPr>
        <w:t> </w:t>
      </w:r>
    </w:p>
    <w:p w14:paraId="3783247C" w14:textId="77777777" w:rsidR="000352AA" w:rsidRPr="00E7417E" w:rsidRDefault="000352AA" w:rsidP="000352AA">
      <w:pPr>
        <w:shd w:val="clear" w:color="auto" w:fill="FFFFFF"/>
        <w:spacing w:before="180" w:after="0" w:line="240" w:lineRule="auto"/>
        <w:rPr>
          <w:rFonts w:ascii="Roboto" w:eastAsia="Times New Roman" w:hAnsi="Roboto" w:cs="Times New Roman"/>
          <w:color w:val="222222"/>
          <w:sz w:val="24"/>
          <w:szCs w:val="24"/>
        </w:rPr>
      </w:pPr>
      <w:r w:rsidRPr="00E7417E">
        <w:rPr>
          <w:rFonts w:ascii="Times New Roman" w:eastAsia="Times New Roman" w:hAnsi="Times New Roman" w:cs="Times New Roman"/>
          <w:b/>
          <w:bCs/>
          <w:color w:val="222222"/>
          <w:sz w:val="24"/>
          <w:szCs w:val="24"/>
        </w:rPr>
        <w:t> </w:t>
      </w:r>
    </w:p>
    <w:p w14:paraId="3D1B7087" w14:textId="77777777" w:rsidR="000352AA" w:rsidRPr="00E7417E" w:rsidRDefault="000352AA" w:rsidP="000352AA">
      <w:pPr>
        <w:shd w:val="clear" w:color="auto" w:fill="FFFFFF"/>
        <w:spacing w:before="180" w:after="0" w:line="240" w:lineRule="auto"/>
        <w:rPr>
          <w:rFonts w:ascii="Roboto" w:eastAsia="Times New Roman" w:hAnsi="Roboto" w:cs="Times New Roman"/>
          <w:color w:val="222222"/>
          <w:sz w:val="24"/>
          <w:szCs w:val="24"/>
        </w:rPr>
      </w:pPr>
      <w:r w:rsidRPr="00E7417E">
        <w:rPr>
          <w:rFonts w:ascii="Times New Roman" w:eastAsia="Times New Roman" w:hAnsi="Times New Roman" w:cs="Times New Roman"/>
          <w:b/>
          <w:bCs/>
          <w:color w:val="222222"/>
          <w:sz w:val="24"/>
          <w:szCs w:val="24"/>
        </w:rPr>
        <w:t> </w:t>
      </w:r>
    </w:p>
    <w:p w14:paraId="60B8CFD2" w14:textId="77777777" w:rsidR="000352AA" w:rsidRPr="00E7417E" w:rsidRDefault="000352AA" w:rsidP="000352AA">
      <w:pPr>
        <w:shd w:val="clear" w:color="auto" w:fill="FFFFFF"/>
        <w:spacing w:before="180" w:after="0" w:line="240" w:lineRule="auto"/>
        <w:jc w:val="center"/>
        <w:rPr>
          <w:rFonts w:ascii="Roboto" w:eastAsia="Times New Roman" w:hAnsi="Roboto" w:cs="Times New Roman"/>
          <w:color w:val="222222"/>
          <w:sz w:val="24"/>
          <w:szCs w:val="24"/>
        </w:rPr>
      </w:pPr>
      <w:r w:rsidRPr="00E7417E">
        <w:rPr>
          <w:rFonts w:ascii="Times New Roman" w:eastAsia="Times New Roman" w:hAnsi="Times New Roman" w:cs="Times New Roman"/>
          <w:b/>
          <w:bCs/>
          <w:color w:val="222222"/>
          <w:sz w:val="24"/>
          <w:szCs w:val="24"/>
        </w:rPr>
        <w:t>D 6.1 Interpreting Correlations</w:t>
      </w:r>
    </w:p>
    <w:p w14:paraId="2D0990E5" w14:textId="77777777" w:rsidR="000352AA" w:rsidRPr="00E7417E" w:rsidRDefault="000352AA" w:rsidP="000352AA">
      <w:pPr>
        <w:shd w:val="clear" w:color="auto" w:fill="FFFFFF"/>
        <w:spacing w:before="180" w:after="0" w:line="240" w:lineRule="auto"/>
        <w:rPr>
          <w:rFonts w:ascii="Roboto" w:eastAsia="Times New Roman" w:hAnsi="Roboto" w:cs="Times New Roman"/>
          <w:color w:val="222222"/>
          <w:sz w:val="24"/>
          <w:szCs w:val="24"/>
        </w:rPr>
      </w:pPr>
      <w:r w:rsidRPr="00E7417E">
        <w:rPr>
          <w:rFonts w:ascii="Times New Roman" w:eastAsia="Times New Roman" w:hAnsi="Times New Roman" w:cs="Times New Roman"/>
          <w:b/>
          <w:bCs/>
          <w:color w:val="222222"/>
          <w:sz w:val="24"/>
          <w:szCs w:val="24"/>
        </w:rPr>
        <w:t>D 6.1. In Output 9.2, what do the correlation coefficients tell us? What is the r^2 for the Pearson correlation, and what does it mean? Compare the Pearson and Spearman correlations on both correlation size and significance level and explain your comparison.</w:t>
      </w:r>
    </w:p>
    <w:p w14:paraId="6308605B" w14:textId="77777777" w:rsidR="000352AA" w:rsidRPr="00E7417E" w:rsidRDefault="000352AA" w:rsidP="000352AA">
      <w:pPr>
        <w:shd w:val="clear" w:color="auto" w:fill="FFFFFF"/>
        <w:spacing w:before="180" w:after="0" w:line="240" w:lineRule="auto"/>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          The probability that a relationship between at least two components in an investigation is caused by something other than chance is referred to as statistical significance (Judge, 2017). Statistical significance is a means of numerically establishing that a particular measurement is reliable, which is significant. One can argue that one's perception is statistically significant if the P-value is less than the significance level. The two-sided (tailed) chi-square test is not statistically significant (p =.056), indicating that we cannot be convinced that males and girls vary in terms of having low math grades (Morgan et al. 2019). However, if the link is statistically significant, the p will be low, according to Morgan et al. (2019).</w:t>
      </w:r>
    </w:p>
    <w:p w14:paraId="5365619E" w14:textId="77777777" w:rsidR="000352AA" w:rsidRPr="00E7417E" w:rsidRDefault="000352AA" w:rsidP="000352AA">
      <w:pPr>
        <w:shd w:val="clear" w:color="auto" w:fill="FFFFFF"/>
        <w:spacing w:before="180" w:after="0" w:line="240" w:lineRule="auto"/>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          Pearson and Spearman correlation tables both provide comparable information, and only the one whose assumptions are most consistent with the data should be reported (Morgan et al., 2013). Spearman Rho (</w:t>
      </w:r>
      <w:proofErr w:type="spellStart"/>
      <w:r w:rsidRPr="00E7417E">
        <w:rPr>
          <w:rFonts w:ascii="Times New Roman" w:eastAsia="Times New Roman" w:hAnsi="Times New Roman" w:cs="Times New Roman"/>
          <w:color w:val="222222"/>
          <w:sz w:val="24"/>
          <w:szCs w:val="24"/>
        </w:rPr>
        <w:t>rs</w:t>
      </w:r>
      <w:proofErr w:type="spellEnd"/>
      <w:r w:rsidRPr="00E7417E">
        <w:rPr>
          <w:rFonts w:ascii="Times New Roman" w:eastAsia="Times New Roman" w:hAnsi="Times New Roman" w:cs="Times New Roman"/>
          <w:color w:val="222222"/>
          <w:sz w:val="24"/>
          <w:szCs w:val="24"/>
        </w:rPr>
        <w:t xml:space="preserve">) is employed when both variables have at least ordinal data and do not follow a normal distribution (Morgan et al., 2013). The skewness of a mother's schooling is 1.124 (Morgan et al., 2013, p.59), which violates the typical assumption. Thus, all that is required is the interpretation of the Spearman correlation table. Spearman's rho is comparable to Pearson's r for paired ranked results (Schober et al., 2018). Spearman's rho has a correlation </w:t>
      </w:r>
      <w:r w:rsidRPr="00E7417E">
        <w:rPr>
          <w:rFonts w:ascii="Times New Roman" w:eastAsia="Times New Roman" w:hAnsi="Times New Roman" w:cs="Times New Roman"/>
          <w:color w:val="222222"/>
          <w:sz w:val="24"/>
          <w:szCs w:val="24"/>
        </w:rPr>
        <w:lastRenderedPageBreak/>
        <w:t>coefficient of.32, which is slightly different from r=.34. Cohen (1988, 1992) asserts that the effect size is medium when r is approximately 0.3. As a result, the effect size is approximately medium in this scenario. It has a comparable significance level of p=.006 in problem 9.2.</w:t>
      </w:r>
    </w:p>
    <w:p w14:paraId="735ECD14" w14:textId="77777777" w:rsidR="000352AA" w:rsidRPr="00E7417E" w:rsidRDefault="000352AA" w:rsidP="000352AA">
      <w:pPr>
        <w:shd w:val="clear" w:color="auto" w:fill="FFFFFF"/>
        <w:spacing w:before="180" w:after="0" w:line="240" w:lineRule="auto"/>
        <w:jc w:val="center"/>
        <w:rPr>
          <w:rFonts w:ascii="Roboto" w:eastAsia="Times New Roman" w:hAnsi="Roboto" w:cs="Times New Roman"/>
          <w:color w:val="222222"/>
          <w:sz w:val="24"/>
          <w:szCs w:val="24"/>
        </w:rPr>
      </w:pPr>
      <w:r w:rsidRPr="00E7417E">
        <w:rPr>
          <w:rFonts w:ascii="Times New Roman" w:eastAsia="Times New Roman" w:hAnsi="Times New Roman" w:cs="Times New Roman"/>
          <w:b/>
          <w:bCs/>
          <w:color w:val="222222"/>
          <w:sz w:val="24"/>
          <w:szCs w:val="24"/>
        </w:rPr>
        <w:t>D 6.2 Interpreting Regressions</w:t>
      </w:r>
    </w:p>
    <w:p w14:paraId="16EE5A93" w14:textId="77777777" w:rsidR="000352AA" w:rsidRPr="00E7417E" w:rsidRDefault="000352AA" w:rsidP="000352AA">
      <w:pPr>
        <w:shd w:val="clear" w:color="auto" w:fill="FFFFFF"/>
        <w:spacing w:before="180" w:after="0" w:line="240" w:lineRule="auto"/>
        <w:rPr>
          <w:rFonts w:ascii="Roboto" w:eastAsia="Times New Roman" w:hAnsi="Roboto" w:cs="Times New Roman"/>
          <w:color w:val="222222"/>
          <w:sz w:val="24"/>
          <w:szCs w:val="24"/>
        </w:rPr>
      </w:pPr>
      <w:r w:rsidRPr="00E7417E">
        <w:rPr>
          <w:rFonts w:ascii="Times New Roman" w:eastAsia="Times New Roman" w:hAnsi="Times New Roman" w:cs="Times New Roman"/>
          <w:b/>
          <w:bCs/>
          <w:color w:val="222222"/>
          <w:sz w:val="24"/>
          <w:szCs w:val="24"/>
        </w:rPr>
        <w:t>D 6.2. a. Using Output 9.4, find the regression coefficient (weight) and the standardized regression (Beta) coefficient. How do these compare to the correlation between the same variables in Output 9.3? What does the regression coefficient (weight) tell you</w:t>
      </w:r>
      <w:r w:rsidRPr="00E7417E">
        <w:rPr>
          <w:rFonts w:ascii="Times New Roman" w:eastAsia="Times New Roman" w:hAnsi="Times New Roman" w:cs="Times New Roman"/>
          <w:color w:val="222222"/>
          <w:sz w:val="24"/>
          <w:szCs w:val="24"/>
        </w:rPr>
        <w:t>?</w:t>
      </w:r>
    </w:p>
    <w:p w14:paraId="511578DE" w14:textId="77777777" w:rsidR="000352AA" w:rsidRPr="00E7417E" w:rsidRDefault="000352AA" w:rsidP="000352AA">
      <w:pPr>
        <w:shd w:val="clear" w:color="auto" w:fill="FFFFFF"/>
        <w:spacing w:before="180" w:after="0" w:line="240" w:lineRule="auto"/>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          The regression coefficient (weight) in output 9.4 is 2.14, whereas the standardized regression coefficient (Beta) is.50. In output 9.3, the association between match achievement and high school grades is identical to the.50 standardized regression (Beta) coefficient in 9.4. According to the coefficients table in output 9.4, the dependent variable math achievement changes by a factor of 2.142 with the independent variable high school GPA when all other independent variables are held constant. The equation "match achievement=.40 + 2.14" can be used to illustrate the relationship between these two variables (grades in high school).</w:t>
      </w:r>
    </w:p>
    <w:p w14:paraId="3FCAB0B8" w14:textId="77777777" w:rsidR="000352AA" w:rsidRPr="00E7417E" w:rsidRDefault="000352AA" w:rsidP="000352AA">
      <w:pPr>
        <w:shd w:val="clear" w:color="auto" w:fill="FFFFFF"/>
        <w:spacing w:before="180" w:after="180" w:line="240" w:lineRule="auto"/>
        <w:rPr>
          <w:rFonts w:ascii="Roboto" w:eastAsia="Times New Roman" w:hAnsi="Roboto" w:cs="Times New Roman"/>
          <w:color w:val="222222"/>
          <w:sz w:val="24"/>
          <w:szCs w:val="24"/>
        </w:rPr>
      </w:pPr>
      <w:r w:rsidRPr="00E7417E">
        <w:rPr>
          <w:rFonts w:ascii="Roboto" w:eastAsia="Times New Roman" w:hAnsi="Roboto" w:cs="Times New Roman"/>
          <w:color w:val="222222"/>
          <w:sz w:val="24"/>
          <w:szCs w:val="24"/>
        </w:rPr>
        <w:t> </w:t>
      </w:r>
    </w:p>
    <w:p w14:paraId="5DEA550A" w14:textId="77777777" w:rsidR="000352AA" w:rsidRPr="00E7417E" w:rsidRDefault="000352AA" w:rsidP="000352AA">
      <w:pPr>
        <w:shd w:val="clear" w:color="auto" w:fill="FFFFFF"/>
        <w:spacing w:before="180" w:after="0" w:line="240" w:lineRule="auto"/>
        <w:jc w:val="center"/>
        <w:rPr>
          <w:rFonts w:ascii="Roboto" w:eastAsia="Times New Roman" w:hAnsi="Roboto" w:cs="Times New Roman"/>
          <w:color w:val="222222"/>
          <w:sz w:val="24"/>
          <w:szCs w:val="24"/>
        </w:rPr>
      </w:pPr>
      <w:r w:rsidRPr="00E7417E">
        <w:rPr>
          <w:rFonts w:ascii="Times New Roman" w:eastAsia="Times New Roman" w:hAnsi="Times New Roman" w:cs="Times New Roman"/>
          <w:b/>
          <w:bCs/>
          <w:color w:val="222222"/>
          <w:sz w:val="24"/>
          <w:szCs w:val="24"/>
        </w:rPr>
        <w:t>D 6.2. b. Using the variables in Problem 9.4, develop a research question in which the Pearson correlation would be more appropriate than the bivariate regression.</w:t>
      </w:r>
    </w:p>
    <w:p w14:paraId="01CD4471" w14:textId="77777777" w:rsidR="000352AA" w:rsidRPr="00E7417E" w:rsidRDefault="000352AA" w:rsidP="000352AA">
      <w:pPr>
        <w:shd w:val="clear" w:color="auto" w:fill="FFFFFF"/>
        <w:spacing w:before="180" w:after="0" w:line="240" w:lineRule="auto"/>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         Pearson correlation is used to evaluate the linear relationship between two continuous variables. Thus, the research questions should be:</w:t>
      </w:r>
    </w:p>
    <w:p w14:paraId="3AC7546E" w14:textId="77777777" w:rsidR="000352AA" w:rsidRPr="00E7417E" w:rsidRDefault="000352AA" w:rsidP="000352AA">
      <w:pPr>
        <w:shd w:val="clear" w:color="auto" w:fill="FFFFFF"/>
        <w:spacing w:before="180" w:after="0" w:line="240" w:lineRule="auto"/>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What is the relationship between student’s match achievement and grades in high school?</w:t>
      </w:r>
    </w:p>
    <w:p w14:paraId="0BFECE57" w14:textId="77777777" w:rsidR="000352AA" w:rsidRPr="00E7417E" w:rsidRDefault="000352AA" w:rsidP="000352AA">
      <w:pPr>
        <w:shd w:val="clear" w:color="auto" w:fill="FFFFFF"/>
        <w:spacing w:before="180" w:after="180" w:line="240" w:lineRule="auto"/>
        <w:rPr>
          <w:rFonts w:ascii="Roboto" w:eastAsia="Times New Roman" w:hAnsi="Roboto" w:cs="Times New Roman"/>
          <w:color w:val="222222"/>
          <w:sz w:val="24"/>
          <w:szCs w:val="24"/>
        </w:rPr>
      </w:pPr>
      <w:r w:rsidRPr="00E7417E">
        <w:rPr>
          <w:rFonts w:ascii="Roboto" w:eastAsia="Times New Roman" w:hAnsi="Roboto" w:cs="Times New Roman"/>
          <w:color w:val="222222"/>
          <w:sz w:val="24"/>
          <w:szCs w:val="24"/>
        </w:rPr>
        <w:t> </w:t>
      </w:r>
    </w:p>
    <w:p w14:paraId="493EA9EF" w14:textId="77777777" w:rsidR="000352AA" w:rsidRPr="00E7417E" w:rsidRDefault="000352AA" w:rsidP="000352AA">
      <w:pPr>
        <w:numPr>
          <w:ilvl w:val="0"/>
          <w:numId w:val="1"/>
        </w:numPr>
        <w:shd w:val="clear" w:color="auto" w:fill="FFFFFF"/>
        <w:spacing w:before="100" w:beforeAutospacing="1" w:after="0" w:line="240" w:lineRule="auto"/>
        <w:ind w:left="1095"/>
        <w:jc w:val="center"/>
        <w:rPr>
          <w:rFonts w:ascii="Roboto" w:eastAsia="Times New Roman" w:hAnsi="Roboto" w:cs="Times New Roman"/>
          <w:color w:val="222222"/>
          <w:sz w:val="24"/>
          <w:szCs w:val="24"/>
        </w:rPr>
      </w:pPr>
      <w:r w:rsidRPr="00E7417E">
        <w:rPr>
          <w:rFonts w:ascii="Times New Roman" w:eastAsia="Times New Roman" w:hAnsi="Times New Roman" w:cs="Times New Roman"/>
          <w:b/>
          <w:bCs/>
          <w:color w:val="222222"/>
          <w:sz w:val="24"/>
          <w:szCs w:val="24"/>
        </w:rPr>
        <w:t>6.2. c. Using the variables in Problem 9.4, develop a research question in which the bivariate regression would be more appropriate than the Pearson correlation.</w:t>
      </w:r>
    </w:p>
    <w:p w14:paraId="040A16DC" w14:textId="77777777" w:rsidR="000352AA" w:rsidRPr="00E7417E" w:rsidRDefault="000352AA" w:rsidP="000352AA">
      <w:pPr>
        <w:shd w:val="clear" w:color="auto" w:fill="FFFFFF"/>
        <w:spacing w:before="180" w:after="0" w:line="240" w:lineRule="auto"/>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          A simple linear regression (sometimes referred to as a bivariate regression) is a linear equation that describes the relationship between an explanatory and an outcome variable (Zou et al. 2003) and is particularly useful when researchers need to make predictions about one variable based on another (Morgan et al., 2013). Thus, the research question should be: Can a student's match achievement be predicted based on his or her high school grades?</w:t>
      </w:r>
    </w:p>
    <w:p w14:paraId="121BB204" w14:textId="77777777" w:rsidR="000352AA" w:rsidRPr="00E7417E" w:rsidRDefault="000352AA" w:rsidP="000352AA">
      <w:pPr>
        <w:shd w:val="clear" w:color="auto" w:fill="FFFFFF"/>
        <w:spacing w:before="180" w:after="180" w:line="240" w:lineRule="auto"/>
        <w:rPr>
          <w:rFonts w:ascii="Roboto" w:eastAsia="Times New Roman" w:hAnsi="Roboto" w:cs="Times New Roman"/>
          <w:color w:val="222222"/>
          <w:sz w:val="24"/>
          <w:szCs w:val="24"/>
        </w:rPr>
      </w:pPr>
      <w:r w:rsidRPr="00E7417E">
        <w:rPr>
          <w:rFonts w:ascii="Roboto" w:eastAsia="Times New Roman" w:hAnsi="Roboto" w:cs="Times New Roman"/>
          <w:color w:val="222222"/>
          <w:sz w:val="24"/>
          <w:szCs w:val="24"/>
        </w:rPr>
        <w:t> </w:t>
      </w:r>
    </w:p>
    <w:p w14:paraId="4B8910DB" w14:textId="77777777" w:rsidR="000352AA" w:rsidRPr="00E7417E" w:rsidRDefault="000352AA" w:rsidP="000352AA">
      <w:pPr>
        <w:shd w:val="clear" w:color="auto" w:fill="FFFFFF"/>
        <w:spacing w:before="180" w:after="0" w:line="240" w:lineRule="auto"/>
        <w:jc w:val="center"/>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References:</w:t>
      </w:r>
    </w:p>
    <w:p w14:paraId="64586D62" w14:textId="77777777" w:rsidR="000352AA" w:rsidRPr="00E7417E" w:rsidRDefault="000352AA" w:rsidP="000352AA">
      <w:pPr>
        <w:shd w:val="clear" w:color="auto" w:fill="FFFFFF"/>
        <w:spacing w:before="180" w:after="180" w:line="240" w:lineRule="auto"/>
        <w:rPr>
          <w:rFonts w:ascii="Roboto" w:eastAsia="Times New Roman" w:hAnsi="Roboto" w:cs="Times New Roman"/>
          <w:color w:val="222222"/>
          <w:sz w:val="24"/>
          <w:szCs w:val="24"/>
        </w:rPr>
      </w:pPr>
      <w:r w:rsidRPr="00E7417E">
        <w:rPr>
          <w:rFonts w:ascii="Roboto" w:eastAsia="Times New Roman" w:hAnsi="Roboto" w:cs="Times New Roman"/>
          <w:color w:val="222222"/>
          <w:sz w:val="24"/>
          <w:szCs w:val="24"/>
        </w:rPr>
        <w:t> </w:t>
      </w:r>
    </w:p>
    <w:p w14:paraId="2F6941E9" w14:textId="77777777" w:rsidR="000352AA" w:rsidRPr="00E7417E" w:rsidRDefault="000352AA" w:rsidP="000352AA">
      <w:pPr>
        <w:shd w:val="clear" w:color="auto" w:fill="FFFFFF"/>
        <w:spacing w:before="180" w:after="0" w:line="240" w:lineRule="auto"/>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Cohen, J. (1988). Statistical power analysis for the behavioral sciences (2nd ed.). Hillsdale, NJ: Erlbaum.</w:t>
      </w:r>
    </w:p>
    <w:p w14:paraId="74126467" w14:textId="77777777" w:rsidR="000352AA" w:rsidRPr="00E7417E" w:rsidRDefault="000352AA" w:rsidP="000352AA">
      <w:pPr>
        <w:shd w:val="clear" w:color="auto" w:fill="FFFFFF"/>
        <w:spacing w:before="180" w:after="0" w:line="240" w:lineRule="auto"/>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Cohen, J. (1992). Statistical power analysis. Current directions in psychological science, 1(3), 98-101.</w:t>
      </w:r>
    </w:p>
    <w:p w14:paraId="00A2BEAE" w14:textId="77777777" w:rsidR="000352AA" w:rsidRPr="00E7417E" w:rsidRDefault="000352AA" w:rsidP="000352AA">
      <w:pPr>
        <w:shd w:val="clear" w:color="auto" w:fill="FFFFFF"/>
        <w:spacing w:before="180" w:after="0" w:line="240" w:lineRule="auto"/>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lastRenderedPageBreak/>
        <w:t>Lewis-Beck. (1990). The R-squared: Some straight talk. Political Analysis., 2.</w:t>
      </w:r>
    </w:p>
    <w:p w14:paraId="7E79C50A" w14:textId="77777777" w:rsidR="000352AA" w:rsidRPr="00E7417E" w:rsidRDefault="000352AA" w:rsidP="000352AA">
      <w:pPr>
        <w:shd w:val="clear" w:color="auto" w:fill="FFFFFF"/>
        <w:spacing w:before="180" w:after="0" w:line="240" w:lineRule="auto"/>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Morgan, G. A., Leech, N., Gloeckner, G., Barrett, K. C. (2013). IBM SPSS for Introductory Statistics (5th Ed.). Routledge.</w:t>
      </w:r>
    </w:p>
    <w:p w14:paraId="20891ACE" w14:textId="77777777" w:rsidR="000352AA" w:rsidRPr="00E7417E" w:rsidRDefault="000352AA" w:rsidP="000352AA">
      <w:pPr>
        <w:shd w:val="clear" w:color="auto" w:fill="FFFFFF"/>
        <w:spacing w:before="180" w:after="0" w:line="240" w:lineRule="auto"/>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Schober, P., Boer, C., &amp; Schwarte, L. A. (2018). Correlation coefficients: appropriate use and interpretation. Anesthesia &amp; Analgesia, 126(5), 1763-1768.</w:t>
      </w:r>
    </w:p>
    <w:p w14:paraId="46D60DC1" w14:textId="77777777" w:rsidR="000352AA" w:rsidRPr="00E7417E" w:rsidRDefault="000352AA" w:rsidP="000352AA">
      <w:pPr>
        <w:shd w:val="clear" w:color="auto" w:fill="FFFFFF"/>
        <w:spacing w:before="180" w:after="0" w:line="240" w:lineRule="auto"/>
        <w:rPr>
          <w:rFonts w:ascii="Roboto" w:eastAsia="Times New Roman" w:hAnsi="Roboto" w:cs="Times New Roman"/>
          <w:color w:val="222222"/>
          <w:sz w:val="24"/>
          <w:szCs w:val="24"/>
        </w:rPr>
      </w:pPr>
      <w:r w:rsidRPr="00E7417E">
        <w:rPr>
          <w:rFonts w:ascii="Times New Roman" w:eastAsia="Times New Roman" w:hAnsi="Times New Roman" w:cs="Times New Roman"/>
          <w:color w:val="222222"/>
          <w:sz w:val="24"/>
          <w:szCs w:val="24"/>
        </w:rPr>
        <w:t xml:space="preserve">Zou, K. H., </w:t>
      </w:r>
      <w:proofErr w:type="spellStart"/>
      <w:r w:rsidRPr="00E7417E">
        <w:rPr>
          <w:rFonts w:ascii="Times New Roman" w:eastAsia="Times New Roman" w:hAnsi="Times New Roman" w:cs="Times New Roman"/>
          <w:color w:val="222222"/>
          <w:sz w:val="24"/>
          <w:szCs w:val="24"/>
        </w:rPr>
        <w:t>Tuncali</w:t>
      </w:r>
      <w:proofErr w:type="spellEnd"/>
      <w:r w:rsidRPr="00E7417E">
        <w:rPr>
          <w:rFonts w:ascii="Times New Roman" w:eastAsia="Times New Roman" w:hAnsi="Times New Roman" w:cs="Times New Roman"/>
          <w:color w:val="222222"/>
          <w:sz w:val="24"/>
          <w:szCs w:val="24"/>
        </w:rPr>
        <w:t>, K., &amp; Silverman, S. G. (2003). Correlation and simple linear regression. Radiology, 227(3), 617-628</w:t>
      </w:r>
    </w:p>
    <w:p w14:paraId="1CDA7271" w14:textId="77777777" w:rsidR="000352AA" w:rsidRDefault="000352AA" w:rsidP="000352AA"/>
    <w:p w14:paraId="62D38AEC" w14:textId="77777777" w:rsidR="000352AA" w:rsidRPr="0037129A" w:rsidRDefault="000352AA" w:rsidP="0037129A">
      <w:pPr>
        <w:rPr>
          <w:sz w:val="36"/>
          <w:szCs w:val="36"/>
        </w:rPr>
      </w:pPr>
    </w:p>
    <w:p w14:paraId="7F3E8B8F" w14:textId="77777777" w:rsidR="0037129A" w:rsidRPr="002544BB" w:rsidRDefault="0037129A" w:rsidP="00C94AE6">
      <w:pPr>
        <w:pStyle w:val="APAReference"/>
      </w:pPr>
    </w:p>
    <w:p w14:paraId="1D7CE86F" w14:textId="77777777" w:rsidR="0037129A" w:rsidRPr="00952C28" w:rsidRDefault="0037129A" w:rsidP="00C94AE6">
      <w:pPr>
        <w:pStyle w:val="APA"/>
      </w:pPr>
    </w:p>
    <w:p w14:paraId="1709CB94" w14:textId="77777777" w:rsidR="0037129A" w:rsidRDefault="0037129A"/>
    <w:sectPr w:rsidR="003712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12409"/>
    <w:multiLevelType w:val="multilevel"/>
    <w:tmpl w:val="42C27B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1A5"/>
    <w:rsid w:val="000352AA"/>
    <w:rsid w:val="00277E71"/>
    <w:rsid w:val="0037129A"/>
    <w:rsid w:val="00EB61AF"/>
    <w:rsid w:val="00F46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00DD5"/>
  <w15:chartTrackingRefBased/>
  <w15:docId w15:val="{740CBA2F-6269-4C45-9C0A-5927154A6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basedOn w:val="BodyText"/>
    <w:link w:val="APAChar"/>
    <w:qFormat/>
    <w:rsid w:val="0037129A"/>
    <w:pPr>
      <w:spacing w:after="0" w:line="480" w:lineRule="auto"/>
      <w:ind w:firstLine="720"/>
    </w:pPr>
    <w:rPr>
      <w:rFonts w:ascii="Times New Roman" w:eastAsia="Times New Roman" w:hAnsi="Times New Roman" w:cs="Times New Roman"/>
      <w:sz w:val="24"/>
      <w:szCs w:val="24"/>
    </w:rPr>
  </w:style>
  <w:style w:type="paragraph" w:customStyle="1" w:styleId="APAReference">
    <w:name w:val="APA Reference"/>
    <w:basedOn w:val="APA"/>
    <w:qFormat/>
    <w:rsid w:val="0037129A"/>
    <w:pPr>
      <w:ind w:left="720" w:hanging="720"/>
    </w:pPr>
  </w:style>
  <w:style w:type="character" w:customStyle="1" w:styleId="APAChar">
    <w:name w:val="APA Char"/>
    <w:basedOn w:val="DefaultParagraphFont"/>
    <w:link w:val="APA"/>
    <w:rsid w:val="0037129A"/>
    <w:rPr>
      <w:rFonts w:ascii="Times New Roman" w:eastAsia="Times New Roman" w:hAnsi="Times New Roman" w:cs="Times New Roman"/>
      <w:sz w:val="24"/>
      <w:szCs w:val="24"/>
    </w:rPr>
  </w:style>
  <w:style w:type="paragraph" w:customStyle="1" w:styleId="APAReferenceSectionHeading">
    <w:name w:val="APA Reference Section Heading"/>
    <w:basedOn w:val="Normal"/>
    <w:next w:val="APAReference"/>
    <w:rsid w:val="0037129A"/>
    <w:pPr>
      <w:spacing w:after="0" w:line="480" w:lineRule="auto"/>
      <w:jc w:val="center"/>
      <w:outlineLvl w:val="0"/>
    </w:pPr>
    <w:rPr>
      <w:rFonts w:ascii="Times New Roman" w:eastAsia="Times New Roman" w:hAnsi="Times New Roman" w:cs="Times New Roman"/>
      <w:b/>
      <w:sz w:val="24"/>
      <w:szCs w:val="24"/>
    </w:rPr>
  </w:style>
  <w:style w:type="paragraph" w:customStyle="1" w:styleId="APAFirstPageTitle">
    <w:name w:val="APA First Page Title"/>
    <w:basedOn w:val="Normal"/>
    <w:next w:val="APA"/>
    <w:rsid w:val="0037129A"/>
    <w:pPr>
      <w:spacing w:after="0" w:line="480" w:lineRule="auto"/>
      <w:jc w:val="center"/>
      <w:outlineLvl w:val="0"/>
    </w:pPr>
    <w:rPr>
      <w:rFonts w:ascii="Times New Roman" w:eastAsia="Times New Roman" w:hAnsi="Times New Roman" w:cs="Times New Roman"/>
      <w:b/>
      <w:sz w:val="24"/>
      <w:szCs w:val="24"/>
    </w:rPr>
  </w:style>
  <w:style w:type="character" w:styleId="Emphasis">
    <w:name w:val="Emphasis"/>
    <w:basedOn w:val="DefaultParagraphFont"/>
    <w:uiPriority w:val="20"/>
    <w:qFormat/>
    <w:rsid w:val="0037129A"/>
    <w:rPr>
      <w:i/>
      <w:iCs/>
    </w:rPr>
  </w:style>
  <w:style w:type="character" w:styleId="Hyperlink">
    <w:name w:val="Hyperlink"/>
    <w:basedOn w:val="DefaultParagraphFont"/>
    <w:uiPriority w:val="99"/>
    <w:unhideWhenUsed/>
    <w:rsid w:val="0037129A"/>
    <w:rPr>
      <w:color w:val="0000FF"/>
      <w:u w:val="single"/>
    </w:rPr>
  </w:style>
  <w:style w:type="paragraph" w:styleId="BodyText">
    <w:name w:val="Body Text"/>
    <w:basedOn w:val="Normal"/>
    <w:link w:val="BodyTextChar"/>
    <w:uiPriority w:val="99"/>
    <w:semiHidden/>
    <w:unhideWhenUsed/>
    <w:rsid w:val="0037129A"/>
    <w:pPr>
      <w:spacing w:after="120"/>
    </w:pPr>
  </w:style>
  <w:style w:type="character" w:customStyle="1" w:styleId="BodyTextChar">
    <w:name w:val="Body Text Char"/>
    <w:basedOn w:val="DefaultParagraphFont"/>
    <w:link w:val="BodyText"/>
    <w:uiPriority w:val="99"/>
    <w:semiHidden/>
    <w:rsid w:val="00371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5840/faithphil199310131"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D4124A737D42E69F712F2A404D8F39"/>
        <w:category>
          <w:name w:val="General"/>
          <w:gallery w:val="placeholder"/>
        </w:category>
        <w:types>
          <w:type w:val="bbPlcHdr"/>
        </w:types>
        <w:behaviors>
          <w:behavior w:val="content"/>
        </w:behaviors>
        <w:guid w:val="{C6515442-44A9-422F-9A11-A64FB00DC187}"/>
      </w:docPartPr>
      <w:docPartBody>
        <w:p w:rsidR="00000000" w:rsidRDefault="00DD2C02" w:rsidP="00DD2C02">
          <w:pPr>
            <w:pStyle w:val="39D4124A737D42E69F712F2A404D8F39"/>
          </w:pPr>
          <w:r w:rsidRPr="00317AE2">
            <w:rPr>
              <w:rStyle w:val="PlaceholderText"/>
            </w:rPr>
            <w:t>Click or tap here to enter text.</w:t>
          </w:r>
        </w:p>
      </w:docPartBody>
    </w:docPart>
    <w:docPart>
      <w:docPartPr>
        <w:name w:val="4AE5D16D00C64CB09C0981509B9055A3"/>
        <w:category>
          <w:name w:val="General"/>
          <w:gallery w:val="placeholder"/>
        </w:category>
        <w:types>
          <w:type w:val="bbPlcHdr"/>
        </w:types>
        <w:behaviors>
          <w:behavior w:val="content"/>
        </w:behaviors>
        <w:guid w:val="{0EC87176-990B-4563-AF13-9861F9CA7427}"/>
      </w:docPartPr>
      <w:docPartBody>
        <w:p w:rsidR="00000000" w:rsidRDefault="00DD2C02" w:rsidP="00DD2C02">
          <w:pPr>
            <w:pStyle w:val="4AE5D16D00C64CB09C0981509B9055A3"/>
          </w:pPr>
          <w:r w:rsidRPr="00317AE2">
            <w:rPr>
              <w:rStyle w:val="PlaceholderText"/>
            </w:rPr>
            <w:t>Click or tap here to enter text.</w:t>
          </w:r>
        </w:p>
      </w:docPartBody>
    </w:docPart>
    <w:docPart>
      <w:docPartPr>
        <w:name w:val="492FF7A2BB1A4160BEC947E2BC274554"/>
        <w:category>
          <w:name w:val="General"/>
          <w:gallery w:val="placeholder"/>
        </w:category>
        <w:types>
          <w:type w:val="bbPlcHdr"/>
        </w:types>
        <w:behaviors>
          <w:behavior w:val="content"/>
        </w:behaviors>
        <w:guid w:val="{663D6221-569C-4920-953E-46C03120A5F5}"/>
      </w:docPartPr>
      <w:docPartBody>
        <w:p w:rsidR="00000000" w:rsidRDefault="00DD2C02" w:rsidP="00DD2C02">
          <w:pPr>
            <w:pStyle w:val="492FF7A2BB1A4160BEC947E2BC274554"/>
          </w:pPr>
          <w:r w:rsidRPr="002608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02"/>
    <w:rsid w:val="00D22712"/>
    <w:rsid w:val="00DD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2C02"/>
    <w:rPr>
      <w:color w:val="808080"/>
    </w:rPr>
  </w:style>
  <w:style w:type="paragraph" w:customStyle="1" w:styleId="39D4124A737D42E69F712F2A404D8F39">
    <w:name w:val="39D4124A737D42E69F712F2A404D8F39"/>
    <w:rsid w:val="00DD2C02"/>
  </w:style>
  <w:style w:type="paragraph" w:customStyle="1" w:styleId="4AE5D16D00C64CB09C0981509B9055A3">
    <w:name w:val="4AE5D16D00C64CB09C0981509B9055A3"/>
    <w:rsid w:val="00DD2C02"/>
  </w:style>
  <w:style w:type="paragraph" w:customStyle="1" w:styleId="492FF7A2BB1A4160BEC947E2BC274554">
    <w:name w:val="492FF7A2BB1A4160BEC947E2BC274554"/>
    <w:rsid w:val="00DD2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1637</Words>
  <Characters>9333</Characters>
  <Application>Microsoft Office Word</Application>
  <DocSecurity>0</DocSecurity>
  <Lines>77</Lines>
  <Paragraphs>21</Paragraphs>
  <ScaleCrop>false</ScaleCrop>
  <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Gibson, Erica</dc:creator>
  <cp:keywords/>
  <dc:description/>
  <cp:lastModifiedBy>Gibson, Erica</cp:lastModifiedBy>
  <cp:revision>4</cp:revision>
  <dcterms:created xsi:type="dcterms:W3CDTF">2021-08-09T01:02:00Z</dcterms:created>
  <dcterms:modified xsi:type="dcterms:W3CDTF">2021-08-09T01:06:00Z</dcterms:modified>
</cp:coreProperties>
</file>